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50AF" w:rsidR="00DD0CEB" w:rsidP="00DD0CEB" w:rsidRDefault="00DD0CEB" w14:paraId="7D8B05EF" w14:textId="77777777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1550AF">
        <w:rPr>
          <w:rFonts w:ascii="Arial" w:hAnsi="Arial" w:cs="Arial"/>
          <w:sz w:val="18"/>
          <w:szCs w:val="18"/>
          <w:lang w:val="el-GR"/>
        </w:rPr>
        <w:t>ΟΡΓΑΝΙΣΜΟΣ ΚΡΑΤΙΚΩΝ ΥΠΗΡΕΣΙΩΝ ΥΓΕΙΑΣ</w:t>
      </w:r>
    </w:p>
    <w:p w:rsidRPr="001550AF" w:rsidR="000F3EAE" w:rsidP="006129C4" w:rsidRDefault="005D4682" w14:paraId="37C13501" w14:textId="35A47FF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64366743">
        <w:rPr>
          <w:rFonts w:ascii="Arial" w:hAnsi="Arial" w:cs="Arial"/>
          <w:sz w:val="18"/>
          <w:szCs w:val="18"/>
          <w:lang w:val="el-GR"/>
        </w:rPr>
        <w:t xml:space="preserve">ΑΝΑΚΟΙΝΩΣΗ </w:t>
      </w:r>
      <w:r w:rsidRPr="64366743" w:rsidR="6EAFC4C3">
        <w:rPr>
          <w:rFonts w:ascii="Arial" w:hAnsi="Arial" w:cs="Arial"/>
          <w:sz w:val="18"/>
          <w:szCs w:val="18"/>
          <w:lang w:val="el-GR"/>
        </w:rPr>
        <w:t>ΠΡΟΚΑΤΑΡΚΤΙΚΟΥ</w:t>
      </w:r>
      <w:r w:rsidRPr="64366743">
        <w:rPr>
          <w:rFonts w:ascii="Arial" w:hAnsi="Arial" w:cs="Arial"/>
          <w:sz w:val="18"/>
          <w:szCs w:val="18"/>
          <w:lang w:val="el-GR"/>
        </w:rPr>
        <w:t xml:space="preserve"> ΚΑΤΑΛΟΓΟΥ </w:t>
      </w:r>
      <w:r w:rsidRPr="64366743" w:rsidR="006129C4">
        <w:rPr>
          <w:rFonts w:ascii="Arial" w:hAnsi="Arial" w:cs="Arial"/>
          <w:sz w:val="18"/>
          <w:szCs w:val="18"/>
          <w:lang w:val="el-GR"/>
        </w:rPr>
        <w:t xml:space="preserve">– ΚΑΤΑΤΑΞΗ ΜΟΡΙΟΔΟΤΗΣΗΣ </w:t>
      </w:r>
      <w:r w:rsidRPr="64366743">
        <w:rPr>
          <w:rFonts w:ascii="Arial" w:hAnsi="Arial" w:cs="Arial"/>
          <w:sz w:val="18"/>
          <w:szCs w:val="18"/>
          <w:lang w:val="el-GR"/>
        </w:rPr>
        <w:t xml:space="preserve">ΥΠΟΨΗΦΙΩΝ </w:t>
      </w:r>
      <w:r w:rsidRPr="64366743" w:rsidR="00550FDF">
        <w:rPr>
          <w:rFonts w:ascii="Arial" w:hAnsi="Arial" w:cs="Arial"/>
          <w:sz w:val="18"/>
          <w:szCs w:val="18"/>
          <w:lang w:val="el-GR"/>
        </w:rPr>
        <w:t>ΝΟΣΗΛΕΥΤΙΚΩΝ ΛΕΙΤΟΥΡΓΩΝ</w:t>
      </w:r>
      <w:r w:rsidRPr="64366743" w:rsidR="006129C4">
        <w:rPr>
          <w:rFonts w:ascii="Arial" w:hAnsi="Arial" w:cs="Arial"/>
          <w:sz w:val="18"/>
          <w:szCs w:val="18"/>
          <w:lang w:val="el-GR"/>
        </w:rPr>
        <w:t xml:space="preserve"> – </w:t>
      </w:r>
      <w:r w:rsidRPr="64366743" w:rsidR="008B12F6">
        <w:rPr>
          <w:rFonts w:ascii="Arial" w:hAnsi="Arial" w:cs="Arial"/>
          <w:sz w:val="18"/>
          <w:szCs w:val="18"/>
          <w:lang w:val="el-GR"/>
        </w:rPr>
        <w:t>ΨΥΧΙΚΗΣ ΥΓΕΙΑΣ</w:t>
      </w:r>
    </w:p>
    <w:p w:rsidRPr="006A700D" w:rsidR="00DD0CEB" w:rsidP="00DD0CEB" w:rsidRDefault="00DD0CEB" w14:paraId="672A6659" w14:textId="77777777">
      <w:pPr>
        <w:spacing w:after="0" w:line="240" w:lineRule="auto"/>
        <w:jc w:val="center"/>
        <w:rPr>
          <w:lang w:val="el-GR"/>
        </w:rPr>
      </w:pPr>
    </w:p>
    <w:p w:rsidR="00464905" w:rsidP="00DD0CEB" w:rsidRDefault="00DD0CEB" w14:paraId="7AF501C4" w14:textId="3300FE43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  <w:r w:rsidRPr="006A700D">
        <w:rPr>
          <w:rFonts w:ascii="Arial" w:hAnsi="Arial" w:cs="Arial"/>
          <w:sz w:val="18"/>
          <w:szCs w:val="18"/>
          <w:lang w:val="el-GR"/>
        </w:rPr>
        <w:t>Ο Οργανισμός Κρατικών Υπηρεσιών</w:t>
      </w:r>
      <w:r>
        <w:rPr>
          <w:rFonts w:ascii="Arial" w:hAnsi="Arial" w:cs="Arial"/>
          <w:sz w:val="18"/>
          <w:szCs w:val="18"/>
          <w:lang w:val="el-GR"/>
        </w:rPr>
        <w:t xml:space="preserve"> Υγείας (ΟΚΥπΥ) ανακοινώνει </w:t>
      </w:r>
      <w:r w:rsidR="006129C4">
        <w:rPr>
          <w:rFonts w:ascii="Arial" w:hAnsi="Arial" w:cs="Arial"/>
          <w:sz w:val="18"/>
          <w:szCs w:val="18"/>
          <w:lang w:val="el-GR"/>
        </w:rPr>
        <w:t xml:space="preserve">τον </w:t>
      </w:r>
      <w:r w:rsidR="3E9277B5">
        <w:rPr>
          <w:rFonts w:ascii="Arial" w:hAnsi="Arial" w:cs="Arial"/>
          <w:sz w:val="18"/>
          <w:szCs w:val="18"/>
          <w:lang w:val="el-GR"/>
        </w:rPr>
        <w:t>προκαταρκτικό</w:t>
      </w:r>
      <w:r w:rsidR="006129C4">
        <w:rPr>
          <w:rFonts w:ascii="Arial" w:hAnsi="Arial" w:cs="Arial"/>
          <w:sz w:val="18"/>
          <w:szCs w:val="18"/>
          <w:lang w:val="el-GR"/>
        </w:rPr>
        <w:t xml:space="preserve"> κατάλογο – κατάταξη μοριοδότησης, </w:t>
      </w:r>
      <w:r w:rsidR="005D4682">
        <w:rPr>
          <w:rFonts w:ascii="Arial" w:hAnsi="Arial" w:cs="Arial"/>
          <w:sz w:val="18"/>
          <w:szCs w:val="18"/>
          <w:lang w:val="el-GR"/>
        </w:rPr>
        <w:t xml:space="preserve">βαθμολογίας των υποψήφιων </w:t>
      </w:r>
      <w:r w:rsidR="00550FDF">
        <w:rPr>
          <w:rFonts w:ascii="Arial" w:hAnsi="Arial" w:cs="Arial"/>
          <w:sz w:val="18"/>
          <w:szCs w:val="18"/>
          <w:lang w:val="el-GR"/>
        </w:rPr>
        <w:t xml:space="preserve">Νοσηλευτικών Λειτουργών – </w:t>
      </w:r>
      <w:r w:rsidR="008B12F6">
        <w:rPr>
          <w:rFonts w:ascii="Arial" w:hAnsi="Arial" w:cs="Arial"/>
          <w:sz w:val="18"/>
          <w:szCs w:val="18"/>
          <w:lang w:val="el-GR"/>
        </w:rPr>
        <w:t>Ψυχικής</w:t>
      </w:r>
      <w:r w:rsidR="00375FC6">
        <w:rPr>
          <w:rFonts w:ascii="Arial" w:hAnsi="Arial" w:cs="Arial"/>
          <w:sz w:val="18"/>
          <w:szCs w:val="18"/>
          <w:lang w:val="el-GR"/>
        </w:rPr>
        <w:t xml:space="preserve"> Υγείας</w:t>
      </w:r>
      <w:r w:rsidR="003D07D1">
        <w:rPr>
          <w:rFonts w:ascii="Arial" w:hAnsi="Arial" w:cs="Arial"/>
          <w:sz w:val="18"/>
          <w:szCs w:val="18"/>
          <w:lang w:val="el-GR"/>
        </w:rPr>
        <w:t>.</w:t>
      </w:r>
      <w:r w:rsidR="005D4682">
        <w:rPr>
          <w:rFonts w:ascii="Arial" w:hAnsi="Arial" w:cs="Arial"/>
          <w:sz w:val="18"/>
          <w:szCs w:val="18"/>
          <w:lang w:val="el-GR"/>
        </w:rPr>
        <w:t xml:space="preserve"> </w:t>
      </w:r>
      <w:r w:rsidR="003D07D1">
        <w:rPr>
          <w:rFonts w:ascii="Arial" w:hAnsi="Arial" w:cs="Arial"/>
          <w:sz w:val="18"/>
          <w:szCs w:val="18"/>
          <w:lang w:val="el-GR"/>
        </w:rPr>
        <w:t xml:space="preserve">Η </w:t>
      </w:r>
      <w:r w:rsidR="16381ADD">
        <w:rPr>
          <w:rFonts w:ascii="Arial" w:hAnsi="Arial" w:cs="Arial"/>
          <w:sz w:val="18"/>
          <w:szCs w:val="18"/>
          <w:lang w:val="el-GR"/>
        </w:rPr>
        <w:t>ανακοίνωση</w:t>
      </w:r>
      <w:r w:rsidR="003D07D1">
        <w:rPr>
          <w:rFonts w:ascii="Arial" w:hAnsi="Arial" w:cs="Arial"/>
          <w:sz w:val="18"/>
          <w:szCs w:val="18"/>
          <w:lang w:val="el-GR"/>
        </w:rPr>
        <w:t xml:space="preserve"> δημοσιεύτηκε</w:t>
      </w:r>
      <w:r w:rsidR="005D4682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στην Επίσημη Εφημερίδ</w:t>
      </w:r>
      <w:r w:rsidR="00550FDF">
        <w:rPr>
          <w:rFonts w:ascii="Arial" w:hAnsi="Arial" w:cs="Arial"/>
          <w:sz w:val="18"/>
          <w:szCs w:val="18"/>
          <w:lang w:val="el-GR"/>
        </w:rPr>
        <w:t xml:space="preserve">α της Δημοκρατίας με αριθμό </w:t>
      </w:r>
      <w:r w:rsidR="00EF4526">
        <w:rPr>
          <w:rFonts w:ascii="Arial" w:hAnsi="Arial" w:cs="Arial"/>
          <w:b/>
          <w:bCs/>
          <w:sz w:val="18"/>
          <w:szCs w:val="18"/>
          <w:lang w:val="el-GR"/>
        </w:rPr>
        <w:t>5489</w:t>
      </w:r>
      <w:r w:rsidRPr="008726DC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 xml:space="preserve">και αριθμό γνωστοποίησης </w:t>
      </w:r>
      <w:r w:rsidR="00EF4526">
        <w:rPr>
          <w:rFonts w:ascii="Arial" w:hAnsi="Arial" w:cs="Arial"/>
          <w:b/>
          <w:bCs/>
          <w:sz w:val="18"/>
          <w:szCs w:val="18"/>
          <w:lang w:val="el-GR"/>
        </w:rPr>
        <w:t>1298</w:t>
      </w:r>
      <w:r w:rsidR="0012554E">
        <w:rPr>
          <w:rFonts w:ascii="Arial" w:hAnsi="Arial" w:cs="Arial"/>
          <w:sz w:val="18"/>
          <w:szCs w:val="18"/>
          <w:lang w:val="el-GR"/>
        </w:rPr>
        <w:t>,</w:t>
      </w:r>
      <w:r w:rsidR="00550FDF">
        <w:rPr>
          <w:rFonts w:ascii="Arial" w:hAnsi="Arial" w:cs="Arial"/>
          <w:sz w:val="18"/>
          <w:szCs w:val="18"/>
          <w:lang w:val="el-GR"/>
        </w:rPr>
        <w:t xml:space="preserve"> ημερομηνίας </w:t>
      </w:r>
      <w:r w:rsidR="00EF4526">
        <w:rPr>
          <w:rFonts w:ascii="Arial" w:hAnsi="Arial" w:cs="Arial"/>
          <w:b/>
          <w:bCs/>
          <w:sz w:val="18"/>
          <w:szCs w:val="18"/>
          <w:lang w:val="el-GR"/>
        </w:rPr>
        <w:t>9 Δεκεμβρίου</w:t>
      </w:r>
      <w:r w:rsidRPr="008726DC">
        <w:rPr>
          <w:rFonts w:ascii="Arial" w:hAnsi="Arial" w:cs="Arial"/>
          <w:b/>
          <w:bCs/>
          <w:sz w:val="18"/>
          <w:szCs w:val="18"/>
          <w:lang w:val="el-GR"/>
        </w:rPr>
        <w:t xml:space="preserve"> 202</w:t>
      </w:r>
      <w:r w:rsidRPr="008726DC" w:rsidR="08167897">
        <w:rPr>
          <w:rFonts w:ascii="Arial" w:hAnsi="Arial" w:cs="Arial"/>
          <w:b/>
          <w:bCs/>
          <w:sz w:val="18"/>
          <w:szCs w:val="18"/>
          <w:lang w:val="el-GR"/>
        </w:rPr>
        <w:t>2</w:t>
      </w:r>
      <w:r w:rsidR="00550FDF">
        <w:rPr>
          <w:rFonts w:ascii="Arial" w:hAnsi="Arial" w:cs="Arial"/>
          <w:sz w:val="18"/>
          <w:szCs w:val="18"/>
          <w:lang w:val="el-GR"/>
        </w:rPr>
        <w:t>.</w:t>
      </w:r>
      <w:r w:rsidR="00464905">
        <w:rPr>
          <w:rFonts w:ascii="Arial" w:hAnsi="Arial" w:cs="Arial"/>
          <w:sz w:val="18"/>
          <w:szCs w:val="18"/>
          <w:lang w:val="el-GR"/>
        </w:rPr>
        <w:t xml:space="preserve">  </w:t>
      </w:r>
      <w:r w:rsidRPr="00464905" w:rsidR="00464905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Η σειρά κατάταξης καθορίστηκε με βάση τα</w:t>
      </w:r>
      <w:r w:rsidR="00464905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πιο κάτω</w:t>
      </w:r>
      <w:r w:rsidRPr="00464905" w:rsidR="00464905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κριτήρια αξιολόγησης</w:t>
      </w:r>
      <w:r w:rsidR="00464905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:</w:t>
      </w:r>
    </w:p>
    <w:p w:rsidR="004F0781" w:rsidP="004F0781" w:rsidRDefault="004F0781" w14:paraId="344816B8" w14:textId="77777777">
      <w:pPr>
        <w:pStyle w:val="BodyText"/>
        <w:spacing w:before="60"/>
        <w:ind w:left="117" w:firstLine="0"/>
      </w:pPr>
    </w:p>
    <w:tbl>
      <w:tblPr>
        <w:tblpPr w:leftFromText="180" w:rightFromText="180" w:vertAnchor="text" w:tblpY="82"/>
        <w:tblW w:w="9785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764"/>
      </w:tblGrid>
      <w:tr w:rsidRPr="004F0781" w:rsidR="004F0781" w:rsidTr="76DE4F97" w14:paraId="691FD00F" w14:textId="77777777">
        <w:tc>
          <w:tcPr>
            <w:tcW w:w="9785" w:type="dxa"/>
            <w:gridSpan w:val="2"/>
            <w:shd w:val="clear" w:color="auto" w:fill="000000" w:themeFill="text1"/>
            <w:tcMar/>
          </w:tcPr>
          <w:p w:rsidRPr="00023CE2" w:rsidR="004F0781" w:rsidP="00BF5C06" w:rsidRDefault="004F0781" w14:paraId="287344B6" w14:textId="77777777">
            <w:pPr>
              <w:rPr>
                <w:rFonts w:ascii="Arial" w:hAnsi="Arial" w:cs="Arial"/>
                <w:b/>
                <w:color w:val="EEECE1"/>
                <w:sz w:val="18"/>
                <w:szCs w:val="18"/>
              </w:rPr>
            </w:pPr>
            <w:r w:rsidRPr="00023CE2">
              <w:rPr>
                <w:rFonts w:ascii="Arial" w:hAnsi="Arial" w:cs="Arial"/>
                <w:b/>
                <w:color w:val="EEECE1"/>
                <w:sz w:val="18"/>
                <w:szCs w:val="18"/>
              </w:rPr>
              <w:t>Κριτήριο Α / ΕΚΠΑΙΔΕΥΣΗ</w:t>
            </w:r>
          </w:p>
        </w:tc>
      </w:tr>
      <w:tr w:rsidRPr="004F0781" w:rsidR="004F0781" w:rsidTr="76DE4F97" w14:paraId="203B83B0" w14:textId="77777777">
        <w:tc>
          <w:tcPr>
            <w:tcW w:w="1021" w:type="dxa"/>
            <w:shd w:val="clear" w:color="auto" w:fill="auto"/>
            <w:tcMar/>
          </w:tcPr>
          <w:p w:rsidRPr="00023CE2" w:rsidR="004F0781" w:rsidP="00BF5C06" w:rsidRDefault="004F0781" w14:paraId="047DB668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CE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64" w:type="dxa"/>
            <w:shd w:val="clear" w:color="auto" w:fill="auto"/>
            <w:tcMar/>
          </w:tcPr>
          <w:p w:rsidRPr="00023CE2" w:rsidR="004F0781" w:rsidP="004F0781" w:rsidRDefault="004F0781" w14:paraId="65CB56E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i/>
                <w:sz w:val="18"/>
                <w:szCs w:val="18"/>
                <w:u w:val="single"/>
                <w:lang w:val="el-GR"/>
              </w:rPr>
            </w:pPr>
            <w:r w:rsidRPr="00023CE2">
              <w:rPr>
                <w:rFonts w:ascii="Arial" w:hAnsi="Arial" w:eastAsia="Arial" w:cs="Arial"/>
                <w:i/>
                <w:sz w:val="18"/>
                <w:szCs w:val="18"/>
                <w:u w:val="single"/>
                <w:lang w:val="el-GR"/>
              </w:rPr>
              <w:t xml:space="preserve">Εκπαίδευση –Πτυχίο/ Εξειδίκευση / Μεταπτυχιακού Ψυχιατρική Νοσηλευτική </w:t>
            </w:r>
          </w:p>
          <w:p w:rsidRPr="00023CE2" w:rsidR="004F0781" w:rsidP="004F0781" w:rsidRDefault="004F0781" w14:paraId="44D27CD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iCs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eastAsia="Arial" w:cs="Arial"/>
                <w:iCs/>
                <w:sz w:val="18"/>
                <w:szCs w:val="18"/>
                <w:lang w:val="el-GR"/>
              </w:rPr>
              <w:t>Βαθμολογία πτυχίου με μέγιστο το 10          …………………………</w:t>
            </w:r>
          </w:p>
          <w:p w:rsidRPr="00023CE2" w:rsidR="004F0781" w:rsidP="004F0781" w:rsidRDefault="004F0781" w14:paraId="5A0C2D8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eastAsia="Arial" w:cs="Arial"/>
                <w:iCs/>
                <w:sz w:val="18"/>
                <w:szCs w:val="18"/>
                <w:lang w:val="el-GR"/>
              </w:rPr>
              <w:t>ένα (1)  μόριο για κάθε μονάδα του πτυχίου (υπολογισμός με τη μέθοδο των τριών)</w:t>
            </w:r>
          </w:p>
        </w:tc>
      </w:tr>
      <w:tr w:rsidRPr="004F0781" w:rsidR="004F0781" w:rsidTr="76DE4F97" w14:paraId="4B8A7F91" w14:textId="77777777">
        <w:tc>
          <w:tcPr>
            <w:tcW w:w="1021" w:type="dxa"/>
            <w:shd w:val="clear" w:color="auto" w:fill="auto"/>
            <w:tcMar/>
          </w:tcPr>
          <w:p w:rsidRPr="00023CE2" w:rsidR="004F0781" w:rsidP="00BF5C06" w:rsidRDefault="004F0781" w14:paraId="2637C324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CE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764" w:type="dxa"/>
            <w:shd w:val="clear" w:color="auto" w:fill="auto"/>
            <w:tcMar/>
          </w:tcPr>
          <w:p w:rsidRPr="00023CE2" w:rsidR="004F0781" w:rsidP="00BF5C06" w:rsidRDefault="004F0781" w14:paraId="44460B81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3CE2">
              <w:rPr>
                <w:rFonts w:ascii="Arial" w:hAnsi="Arial" w:cs="Arial"/>
                <w:i/>
                <w:sz w:val="18"/>
                <w:szCs w:val="18"/>
                <w:u w:val="single"/>
              </w:rPr>
              <w:t>Μεταβασική Εκπαίδευση</w:t>
            </w:r>
            <w:r w:rsidRPr="00023C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Pr="00023CE2" w:rsidR="004F0781" w:rsidP="004F0781" w:rsidRDefault="004F0781" w14:paraId="4E341C05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cs="Arial"/>
                <w:i/>
                <w:sz w:val="18"/>
                <w:szCs w:val="18"/>
                <w:lang w:val="el-GR"/>
              </w:rPr>
              <w:t>Εξειδίκευση σε θέματα Νοσηλευτικής  με ελάχιστη διάρκεια 1 (ενός) ακαδημαϊκού έτους</w:t>
            </w:r>
            <w:r w:rsidRPr="00023CE2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023C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= </w:t>
            </w:r>
            <w:r w:rsidRPr="00023CE2">
              <w:rPr>
                <w:rFonts w:ascii="Arial" w:hAnsi="Arial" w:cs="Arial"/>
                <w:sz w:val="18"/>
                <w:szCs w:val="18"/>
                <w:lang w:val="el-GR"/>
              </w:rPr>
              <w:t>0,5 μόρια</w:t>
            </w:r>
          </w:p>
          <w:p w:rsidRPr="00023CE2" w:rsidR="004F0781" w:rsidP="004F0781" w:rsidRDefault="004F0781" w14:paraId="4023C295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cs="Arial"/>
                <w:i/>
                <w:sz w:val="18"/>
                <w:szCs w:val="18"/>
                <w:lang w:val="el-GR"/>
              </w:rPr>
              <w:t>Μεταπτυχιακό σε θέματα Νοσηλευτικής με ελάχιστη διάρκεια 1 (ενός) ακαδημαϊκού έτους</w:t>
            </w:r>
            <w:r w:rsidRPr="00023CE2">
              <w:rPr>
                <w:rFonts w:ascii="Arial" w:hAnsi="Arial" w:cs="Arial"/>
                <w:sz w:val="18"/>
                <w:szCs w:val="18"/>
                <w:lang w:val="el-GR"/>
              </w:rPr>
              <w:t xml:space="preserve"> = 1 μόριο</w:t>
            </w:r>
          </w:p>
          <w:p w:rsidRPr="00023CE2" w:rsidR="004F0781" w:rsidP="00BF5C06" w:rsidRDefault="004F0781" w14:paraId="0F95E7E8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3CE2">
              <w:rPr>
                <w:rFonts w:ascii="Arial" w:hAnsi="Arial" w:cs="Arial"/>
                <w:i/>
                <w:sz w:val="18"/>
                <w:szCs w:val="18"/>
              </w:rPr>
              <w:t xml:space="preserve">Διδακτορικό σε θέματα Νοσηλευτικής = </w:t>
            </w:r>
            <w:r w:rsidRPr="00023CE2">
              <w:rPr>
                <w:rFonts w:ascii="Arial" w:hAnsi="Arial" w:cs="Arial"/>
                <w:sz w:val="18"/>
                <w:szCs w:val="18"/>
              </w:rPr>
              <w:t>1,5 μόρια</w:t>
            </w:r>
          </w:p>
          <w:p w:rsidRPr="00023CE2" w:rsidR="00023CE2" w:rsidP="00023CE2" w:rsidRDefault="00023CE2" w14:paraId="31E8D044" w14:textId="3FC1F9B8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Pr="004F0781" w:rsidR="004F0781" w:rsidTr="76DE4F97" w14:paraId="59DF0F51" w14:textId="77777777">
        <w:tc>
          <w:tcPr>
            <w:tcW w:w="9785" w:type="dxa"/>
            <w:gridSpan w:val="2"/>
            <w:shd w:val="clear" w:color="auto" w:fill="000000" w:themeFill="text1"/>
            <w:tcMar/>
          </w:tcPr>
          <w:p w:rsidRPr="00023CE2" w:rsidR="004F0781" w:rsidP="00BF5C06" w:rsidRDefault="004F0781" w14:paraId="6B709A5F" w14:textId="7777777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3CE2">
              <w:rPr>
                <w:rFonts w:ascii="Arial" w:hAnsi="Arial" w:cs="Arial"/>
                <w:b/>
                <w:color w:val="FFFFFF"/>
                <w:sz w:val="18"/>
                <w:szCs w:val="18"/>
              </w:rPr>
              <w:t>Κριτήριο Β / ΠΕΙΡΑ</w:t>
            </w:r>
          </w:p>
        </w:tc>
      </w:tr>
      <w:tr w:rsidRPr="004F0781" w:rsidR="004F0781" w:rsidTr="76DE4F97" w14:paraId="2D3500B5" w14:textId="77777777">
        <w:trPr>
          <w:trHeight w:val="456"/>
        </w:trPr>
        <w:tc>
          <w:tcPr>
            <w:tcW w:w="1021" w:type="dxa"/>
            <w:shd w:val="clear" w:color="auto" w:fill="auto"/>
            <w:tcMar/>
          </w:tcPr>
          <w:p w:rsidRPr="00023CE2" w:rsidR="004F0781" w:rsidP="00BF5C06" w:rsidRDefault="004F0781" w14:paraId="5D5B8A57" w14:textId="777777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C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64" w:type="dxa"/>
            <w:shd w:val="clear" w:color="auto" w:fill="auto"/>
            <w:tcMar/>
          </w:tcPr>
          <w:p w:rsidRPr="00023CE2" w:rsidR="004F0781" w:rsidP="00023CE2" w:rsidRDefault="004F0781" w14:paraId="1BD7055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eastAsia="Arial" w:cs="Arial"/>
                <w:sz w:val="18"/>
                <w:szCs w:val="18"/>
                <w:lang w:val="el-GR"/>
              </w:rPr>
              <w:t>Συνολική πείρα στο δημόσιο ή ιδιωτικό τομέα Ψυχιατρικής Νοσηλευτικής</w:t>
            </w:r>
          </w:p>
          <w:p w:rsidRPr="00023CE2" w:rsidR="00023CE2" w:rsidP="00023CE2" w:rsidRDefault="004F0781" w14:paraId="39556545" w14:textId="3958A8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l-GR"/>
              </w:rPr>
            </w:pPr>
            <w:r w:rsidRPr="76DE4F97" w:rsidR="004F0781">
              <w:rPr>
                <w:rFonts w:ascii="Arial" w:hAnsi="Arial" w:eastAsia="Arial" w:cs="Arial"/>
                <w:sz w:val="18"/>
                <w:szCs w:val="18"/>
                <w:lang w:val="el-GR"/>
              </w:rPr>
              <w:t xml:space="preserve">0.25 μόριο για κάθε τρίμηνο μέχρι 8 έτη (ανώτατο όριο)  </w:t>
            </w:r>
            <w:r w:rsidRPr="76DE4F97" w:rsidR="004F0781">
              <w:rPr>
                <w:rFonts w:ascii="Arial" w:hAnsi="Arial" w:eastAsia="Arial" w:cs="Arial"/>
                <w:sz w:val="18"/>
                <w:szCs w:val="18"/>
                <w:lang w:val="el-GR"/>
              </w:rPr>
              <w:t xml:space="preserve">        </w:t>
            </w:r>
          </w:p>
          <w:p w:rsidRPr="00023CE2" w:rsidR="004F0781" w:rsidP="00023CE2" w:rsidRDefault="004F0781" w14:paraId="2F4B16A0" w14:textId="1C1AED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eastAsia="Arial" w:cs="Arial"/>
                <w:sz w:val="18"/>
                <w:szCs w:val="18"/>
                <w:lang w:val="el-GR"/>
              </w:rPr>
              <w:t>Σημειώσεις:</w:t>
            </w:r>
          </w:p>
          <w:p w:rsidRPr="00023CE2" w:rsidR="004F0781" w:rsidP="00023CE2" w:rsidRDefault="00023CE2" w14:paraId="6EAFC766" w14:textId="045E59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eastAsia="Arial" w:cs="Arial"/>
                <w:sz w:val="18"/>
                <w:szCs w:val="18"/>
                <w:lang w:val="el-GR"/>
              </w:rPr>
              <w:t xml:space="preserve">        </w:t>
            </w:r>
            <w:r w:rsidRPr="00023CE2" w:rsidR="004F0781">
              <w:rPr>
                <w:rFonts w:ascii="Arial" w:hAnsi="Arial" w:eastAsia="Arial" w:cs="Arial"/>
                <w:sz w:val="18"/>
                <w:szCs w:val="18"/>
                <w:lang w:val="el-GR"/>
              </w:rPr>
              <w:t>Σε περίπτωση ισοβαθμίας λαμβάνονται υπόψη:</w:t>
            </w:r>
          </w:p>
          <w:p w:rsidRPr="00023CE2" w:rsidR="004F0781" w:rsidP="00023CE2" w:rsidRDefault="004F0781" w14:paraId="688174A3" w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255"/>
              <w:rPr>
                <w:rFonts w:ascii="Arial" w:hAnsi="Arial" w:eastAsia="Arial" w:cs="Arial"/>
                <w:sz w:val="18"/>
                <w:szCs w:val="18"/>
                <w:lang w:val="el-GR"/>
              </w:rPr>
            </w:pPr>
            <w:r w:rsidRPr="00023CE2">
              <w:rPr>
                <w:rFonts w:ascii="Arial" w:hAnsi="Arial" w:eastAsia="Arial" w:cs="Arial"/>
                <w:sz w:val="18"/>
                <w:szCs w:val="18"/>
                <w:lang w:val="el-GR"/>
              </w:rPr>
              <w:t>Ο βαθμός του βασικού Πτυχίου.</w:t>
            </w:r>
          </w:p>
          <w:p w:rsidRPr="00023CE2" w:rsidR="004F0781" w:rsidP="00023CE2" w:rsidRDefault="004F0781" w14:paraId="4964704C" w14:textId="7777777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  <w:r w:rsidRPr="00023CE2">
              <w:rPr>
                <w:rFonts w:ascii="Arial" w:hAnsi="Arial" w:eastAsia="Arial" w:cs="Arial"/>
                <w:sz w:val="18"/>
                <w:szCs w:val="18"/>
                <w:lang w:val="el-GR"/>
              </w:rPr>
              <w:t>Η ημερομηνία γεννήσεως (προτεραιότητα έχει ο μεγαλύτερος σε ηλικία).</w:t>
            </w:r>
          </w:p>
        </w:tc>
      </w:tr>
    </w:tbl>
    <w:p w:rsidR="004F0781" w:rsidP="00DD0CEB" w:rsidRDefault="004F0781" w14:paraId="47AC33B2" w14:textId="77777777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</w:p>
    <w:p w:rsidR="008E0C1B" w:rsidP="008E0C1B" w:rsidRDefault="008E0C1B" w14:paraId="645C6711" w14:textId="0A458939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  <w:r w:rsidRPr="72690040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Στον κατάλογο παρουσιάζονται μόνο οι αιτητές οι οποίοι </w:t>
      </w:r>
      <w:r w:rsidRPr="72690040" w:rsidR="008C2A78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υπέβαλαν αιτήσεις που ήταν πλήρως συμπληρωμένες και προσκόμισαν όλες τις κατάλληλες βεβαιώσεις, οι οποίες αφορούσαν </w:t>
      </w:r>
      <w:r w:rsidRPr="72690040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τα απαιτούμενα προσόντα.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BE3F31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Κάθε ενδιαφερόμενος αιτητής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δικαιούται να υποβάλει ένσταση, η οποία μπορεί να αποσταλεί</w:t>
      </w:r>
      <w:r w:rsidRPr="00BE3F31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μέσω του ηλεκτρονικού</w:t>
      </w:r>
      <w:r w:rsidR="00490520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BE3F31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ταχυδρομείου</w:t>
      </w:r>
      <w:r w:rsidRPr="00BE3F31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w:history="1" r:id="rId8">
        <w:r w:rsidRPr="005F3E2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hr</w:t>
        </w:r>
        <w:r w:rsidRPr="005F3E2A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l-GR"/>
          </w:rPr>
          <w:t>@</w:t>
        </w:r>
        <w:r w:rsidRPr="005F3E2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shso</w:t>
        </w:r>
        <w:r w:rsidRPr="005F3E2A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l-GR"/>
          </w:rPr>
          <w:t>.</w:t>
        </w:r>
        <w:r w:rsidRPr="005F3E2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org</w:t>
        </w:r>
        <w:r w:rsidRPr="005F3E2A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l-GR"/>
          </w:rPr>
          <w:t>.</w:t>
        </w:r>
        <w:r w:rsidRPr="005F3E2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cy </w:t>
        </w:r>
      </w:hyperlink>
      <w:r w:rsidRPr="00BE3F31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όχι αργότερα από τις</w:t>
      </w:r>
      <w:r w:rsidRPr="00BE3F31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5F3E2A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2</w:t>
      </w:r>
      <w:r w:rsidR="0062113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7</w:t>
      </w:r>
      <w:r w:rsidRPr="00BE3F31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="0062113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Ιανουαρ</w:t>
      </w:r>
      <w:r w:rsidRPr="00BE3F31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ίου 202</w:t>
      </w:r>
      <w:r w:rsidR="0062113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3</w:t>
      </w:r>
      <w:r w:rsidRPr="00BE3F31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.</w:t>
      </w:r>
    </w:p>
    <w:p w:rsidR="0081225C" w:rsidP="00DD0CEB" w:rsidRDefault="0081225C" w14:paraId="67BDEDD0" w14:textId="77777777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Σημειώνεται ότι ποσοστό των προσλήψεων θα γίνει σύμφωνα με τον «περί Πρόσληψης Ατόμων με Αναπηρίες στον Ευρύτερο Δημόσιο Τομέα (Ειδικές Διατάξεις) Νόμο, Ν.146(Ι)/2009».</w:t>
      </w:r>
    </w:p>
    <w:p w:rsidR="0081225C" w:rsidP="00DD0CEB" w:rsidRDefault="0081225C" w14:paraId="5DAB6C7B" w14:textId="77777777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</w:p>
    <w:tbl>
      <w:tblPr>
        <w:tblW w:w="6255" w:type="dxa"/>
        <w:jc w:val="center"/>
        <w:tblLook w:val="04A0" w:firstRow="1" w:lastRow="0" w:firstColumn="1" w:lastColumn="0" w:noHBand="0" w:noVBand="1"/>
      </w:tblPr>
      <w:tblGrid>
        <w:gridCol w:w="1350"/>
        <w:gridCol w:w="1585"/>
        <w:gridCol w:w="1660"/>
        <w:gridCol w:w="1660"/>
      </w:tblGrid>
      <w:tr w:rsidRPr="00AD3257" w:rsidR="005F3E2A" w:rsidTr="76DE4F97" w14:paraId="330C3B63" w14:textId="77777777">
        <w:trPr>
          <w:trHeight w:val="480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3257" w:rsidR="005F3E2A" w:rsidP="00AD3257" w:rsidRDefault="005F3E2A" w14:paraId="6474FE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 w:rsidRPr="00AD3257"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Α/Α ΚΑΤΑΤΑΞΗΣ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3257" w:rsidR="005F3E2A" w:rsidP="00AD3257" w:rsidRDefault="005F3E2A" w14:paraId="664B377D" w14:textId="4E55DDB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ΑΡ</w:t>
            </w:r>
            <w:r w:rsidR="00B47CE7"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ΙΘΜΟΣ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 xml:space="preserve"> ΑΙΤΗΣΗΣ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3257" w:rsidR="005F3E2A" w:rsidP="00AD3257" w:rsidRDefault="005F3E2A" w14:paraId="3440FE73" w14:textId="7B82DC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 w:rsidRPr="00AD3257"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Α.Δ.Τ.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3257" w:rsidR="005F3E2A" w:rsidP="00AD3257" w:rsidRDefault="005F3E2A" w14:paraId="7070277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 w:rsidRPr="00AD3257"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ΣΥΝΟΛΙΚΗ ΒΑΘΜΟΛΟΓΙΑ</w:t>
            </w:r>
          </w:p>
        </w:tc>
      </w:tr>
      <w:tr w:rsidRPr="00AD3257" w:rsidR="005F3E2A" w:rsidTr="76DE4F97" w14:paraId="6E685F95" w14:textId="77777777">
        <w:trPr>
          <w:trHeight w:val="227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3257" w:rsidR="005F3E2A" w:rsidP="00AD3257" w:rsidRDefault="005F3E2A" w14:paraId="649841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3257" w:rsidR="005F3E2A" w:rsidP="76DE4F97" w:rsidRDefault="005F3E2A" w14:paraId="09C39CFE" w14:textId="5F5C936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6B7D032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l-GR"/>
              </w:rPr>
              <w:t>7264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1BED2396" w14:textId="5BC78FB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6B7D032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l-GR"/>
              </w:rPr>
              <w:t>***849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5EC876AE" w14:textId="2999CA8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6B7D032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l-GR"/>
              </w:rPr>
              <w:t>8.820</w:t>
            </w:r>
          </w:p>
        </w:tc>
      </w:tr>
      <w:tr w:rsidRPr="00AD3257" w:rsidR="005F3E2A" w:rsidTr="76DE4F97" w14:paraId="278BA4A0" w14:textId="77777777">
        <w:trPr>
          <w:trHeight w:val="227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3257" w:rsidR="005F3E2A" w:rsidP="00AD3257" w:rsidRDefault="005F3E2A" w14:paraId="18F999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 w:rsidRPr="00AD3257"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3257" w:rsidR="005F3E2A" w:rsidP="76DE4F97" w:rsidRDefault="005F3E2A" w14:paraId="7D177863" w14:textId="6C9E88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5A060455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7258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568946DC" w14:textId="56AC1E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5A060455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***442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4431021D" w14:textId="385C90C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5A060455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7.250</w:t>
            </w:r>
          </w:p>
        </w:tc>
      </w:tr>
      <w:tr w:rsidRPr="00AD3257" w:rsidR="005F3E2A" w:rsidTr="76DE4F97" w14:paraId="64476467" w14:textId="77777777">
        <w:trPr>
          <w:trHeight w:val="227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3257" w:rsidR="005F3E2A" w:rsidP="00AD3257" w:rsidRDefault="005F3E2A" w14:paraId="5FCD5E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 w:rsidRPr="00AD3257"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3257" w:rsidR="005F3E2A" w:rsidP="76DE4F97" w:rsidRDefault="005F3E2A" w14:paraId="269D9487" w14:textId="4F15D31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29B31FB5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7273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70B60AC0" w14:textId="23145B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29B31FB5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****183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4119D06E" w14:textId="0194160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29B31FB5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7.168</w:t>
            </w:r>
          </w:p>
        </w:tc>
      </w:tr>
      <w:tr w:rsidRPr="00AD3257" w:rsidR="005F3E2A" w:rsidTr="76DE4F97" w14:paraId="2EE3A5F6" w14:textId="77777777">
        <w:trPr>
          <w:trHeight w:val="227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3257" w:rsidR="005F3E2A" w:rsidP="00AD3257" w:rsidRDefault="005F3E2A" w14:paraId="2598DE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</w:pPr>
            <w:r w:rsidRPr="00AD3257">
              <w:rPr>
                <w:rFonts w:ascii="Arial" w:hAnsi="Arial" w:eastAsia="Times New Roman" w:cs="Arial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3257" w:rsidR="005F3E2A" w:rsidP="76DE4F97" w:rsidRDefault="005F3E2A" w14:paraId="719899BF" w14:textId="6BAB155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1280DECF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7262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361A9640" w14:textId="75A9BC0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1280DECF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***021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AD3257" w:rsidR="005F3E2A" w:rsidP="76DE4F97" w:rsidRDefault="005F3E2A" w14:paraId="76E31E72" w14:textId="0144B7C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</w:pPr>
            <w:r w:rsidRPr="76DE4F97" w:rsidR="1280DECF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l-GR"/>
              </w:rPr>
              <w:t>5.000</w:t>
            </w:r>
          </w:p>
        </w:tc>
      </w:tr>
    </w:tbl>
    <w:p w:rsidR="004E4DF2" w:rsidP="00DD0CEB" w:rsidRDefault="004E4DF2" w14:paraId="39EBA4BC" w14:textId="77777777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</w:p>
    <w:p w:rsidR="00BE3F31" w:rsidP="00DD0CEB" w:rsidRDefault="00D97597" w14:paraId="02EB378F" w14:textId="1641298D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  <w:r w:rsidRPr="72690040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Σ</w:t>
      </w:r>
      <w:r w:rsidRPr="72690040" w:rsidR="00230AAA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ημειώνεται ότι,</w:t>
      </w:r>
      <w:r w:rsidRPr="72690040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72690040" w:rsidR="00230AAA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α</w:t>
      </w:r>
      <w:r w:rsidRPr="72690040" w:rsidR="004E4DF2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ιτητές οι οποίοι έχουν υποβάλει περισσότερες από μία αιτήσεις έχει ληφθεί υπόψιν η τελευταία αίτηση</w:t>
      </w:r>
      <w:r w:rsidRPr="72690040" w:rsidR="200217C9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με έγκυρο αριθμό αίτησης</w:t>
      </w:r>
      <w:r w:rsidRPr="72690040" w:rsidR="004E4DF2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>.</w:t>
      </w:r>
      <w:r w:rsidR="004E4DF2"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  <w:t xml:space="preserve"> </w:t>
      </w:r>
    </w:p>
    <w:p w:rsidRPr="00BE3F31" w:rsidR="00BE3F31" w:rsidP="00DD0CEB" w:rsidRDefault="00BE3F31" w14:paraId="6A05A809" w14:textId="77777777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Pr="006A700D" w:rsidR="00DD0CEB" w:rsidP="00DD0CEB" w:rsidRDefault="00DD0CEB" w14:paraId="5A39BBE3" w14:textId="77777777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Pr="00DD0CEB" w:rsidR="00587E43" w:rsidRDefault="00587E43" w14:paraId="41C8F396" w14:textId="77777777">
      <w:pPr>
        <w:rPr>
          <w:lang w:val="el-GR"/>
        </w:rPr>
      </w:pPr>
    </w:p>
    <w:sectPr w:rsidRPr="00DD0CEB" w:rsidR="00587E43" w:rsidSect="00AE65FE">
      <w:pgSz w:w="12240" w:h="15840" w:orient="portrait"/>
      <w:pgMar w:top="130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02E"/>
    <w:multiLevelType w:val="hybridMultilevel"/>
    <w:tmpl w:val="AF0A7E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929"/>
    <w:multiLevelType w:val="hybridMultilevel"/>
    <w:tmpl w:val="D256B692"/>
    <w:lvl w:ilvl="0" w:tplc="04080001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2" w15:restartNumberingAfterBreak="0">
    <w:nsid w:val="17A30248"/>
    <w:multiLevelType w:val="hybridMultilevel"/>
    <w:tmpl w:val="7A96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6A27"/>
    <w:multiLevelType w:val="hybridMultilevel"/>
    <w:tmpl w:val="0CCA0180"/>
    <w:lvl w:ilvl="0" w:tplc="1A3CC11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6A087715"/>
    <w:multiLevelType w:val="hybridMultilevel"/>
    <w:tmpl w:val="5600B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B9A"/>
    <w:multiLevelType w:val="hybridMultilevel"/>
    <w:tmpl w:val="BE7C1364"/>
    <w:lvl w:ilvl="0" w:tplc="0408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6781500">
    <w:abstractNumId w:val="1"/>
  </w:num>
  <w:num w:numId="2" w16cid:durableId="824931001">
    <w:abstractNumId w:val="5"/>
  </w:num>
  <w:num w:numId="3" w16cid:durableId="1694572769">
    <w:abstractNumId w:val="0"/>
  </w:num>
  <w:num w:numId="4" w16cid:durableId="1322542806">
    <w:abstractNumId w:val="4"/>
  </w:num>
  <w:num w:numId="5" w16cid:durableId="1872960321">
    <w:abstractNumId w:val="3"/>
  </w:num>
  <w:num w:numId="6" w16cid:durableId="10643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trackRevisions w:val="false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EB"/>
    <w:rsid w:val="00023CE2"/>
    <w:rsid w:val="0007236D"/>
    <w:rsid w:val="000B6966"/>
    <w:rsid w:val="000F1DEB"/>
    <w:rsid w:val="000F3EAE"/>
    <w:rsid w:val="001029F4"/>
    <w:rsid w:val="0012554E"/>
    <w:rsid w:val="00127970"/>
    <w:rsid w:val="00140BB8"/>
    <w:rsid w:val="001550AF"/>
    <w:rsid w:val="0019345A"/>
    <w:rsid w:val="001B0644"/>
    <w:rsid w:val="00230AAA"/>
    <w:rsid w:val="00375FC6"/>
    <w:rsid w:val="003D07D1"/>
    <w:rsid w:val="00464905"/>
    <w:rsid w:val="004678C2"/>
    <w:rsid w:val="00485DBC"/>
    <w:rsid w:val="00490520"/>
    <w:rsid w:val="004A1A96"/>
    <w:rsid w:val="004A4439"/>
    <w:rsid w:val="004D4F9C"/>
    <w:rsid w:val="004E4DF2"/>
    <w:rsid w:val="004F0781"/>
    <w:rsid w:val="004F2916"/>
    <w:rsid w:val="00550FDF"/>
    <w:rsid w:val="00587E43"/>
    <w:rsid w:val="005951B9"/>
    <w:rsid w:val="005D3672"/>
    <w:rsid w:val="005D4682"/>
    <w:rsid w:val="005F3E2A"/>
    <w:rsid w:val="006129C4"/>
    <w:rsid w:val="00621135"/>
    <w:rsid w:val="0062430F"/>
    <w:rsid w:val="006658A1"/>
    <w:rsid w:val="00782438"/>
    <w:rsid w:val="00803B37"/>
    <w:rsid w:val="0081225C"/>
    <w:rsid w:val="008349A9"/>
    <w:rsid w:val="008726DC"/>
    <w:rsid w:val="008908D6"/>
    <w:rsid w:val="008A3999"/>
    <w:rsid w:val="008B12F6"/>
    <w:rsid w:val="008C2A78"/>
    <w:rsid w:val="008E0C1B"/>
    <w:rsid w:val="009435F1"/>
    <w:rsid w:val="00955058"/>
    <w:rsid w:val="00A64492"/>
    <w:rsid w:val="00A66750"/>
    <w:rsid w:val="00AD3257"/>
    <w:rsid w:val="00AE65FE"/>
    <w:rsid w:val="00B01FFA"/>
    <w:rsid w:val="00B25C1D"/>
    <w:rsid w:val="00B47CE7"/>
    <w:rsid w:val="00BB1939"/>
    <w:rsid w:val="00BE3F31"/>
    <w:rsid w:val="00C771EA"/>
    <w:rsid w:val="00CB1D44"/>
    <w:rsid w:val="00CF1CD6"/>
    <w:rsid w:val="00CF42D6"/>
    <w:rsid w:val="00D8261B"/>
    <w:rsid w:val="00D97597"/>
    <w:rsid w:val="00DC0843"/>
    <w:rsid w:val="00DD0CEB"/>
    <w:rsid w:val="00DD197C"/>
    <w:rsid w:val="00E07BC1"/>
    <w:rsid w:val="00EB1343"/>
    <w:rsid w:val="00EF4526"/>
    <w:rsid w:val="00F76C0C"/>
    <w:rsid w:val="00F97254"/>
    <w:rsid w:val="00FC133A"/>
    <w:rsid w:val="00FF3B84"/>
    <w:rsid w:val="050754C0"/>
    <w:rsid w:val="08167897"/>
    <w:rsid w:val="09F3D013"/>
    <w:rsid w:val="0BF4D8A8"/>
    <w:rsid w:val="10AF9B7A"/>
    <w:rsid w:val="1116690F"/>
    <w:rsid w:val="126353E8"/>
    <w:rsid w:val="1280DECF"/>
    <w:rsid w:val="130F5D93"/>
    <w:rsid w:val="1329C1A4"/>
    <w:rsid w:val="16381ADD"/>
    <w:rsid w:val="168180C6"/>
    <w:rsid w:val="1C195A3A"/>
    <w:rsid w:val="1D4F757C"/>
    <w:rsid w:val="1E3D9D52"/>
    <w:rsid w:val="200217C9"/>
    <w:rsid w:val="273A1FC1"/>
    <w:rsid w:val="29B31FB5"/>
    <w:rsid w:val="2D11D695"/>
    <w:rsid w:val="3469B0EE"/>
    <w:rsid w:val="38EADFD0"/>
    <w:rsid w:val="3E3FF434"/>
    <w:rsid w:val="3E6F009B"/>
    <w:rsid w:val="3E9277B5"/>
    <w:rsid w:val="44A4EDA9"/>
    <w:rsid w:val="483375D8"/>
    <w:rsid w:val="484D882F"/>
    <w:rsid w:val="4F02507A"/>
    <w:rsid w:val="54F2D995"/>
    <w:rsid w:val="59B653DE"/>
    <w:rsid w:val="5A060455"/>
    <w:rsid w:val="5A3EAB9B"/>
    <w:rsid w:val="6404764E"/>
    <w:rsid w:val="64366743"/>
    <w:rsid w:val="65C0ADD7"/>
    <w:rsid w:val="6B7D032D"/>
    <w:rsid w:val="6EAFC4C3"/>
    <w:rsid w:val="7065EC71"/>
    <w:rsid w:val="708DC611"/>
    <w:rsid w:val="72690040"/>
    <w:rsid w:val="74EFB2F6"/>
    <w:rsid w:val="75B3FEC8"/>
    <w:rsid w:val="76DE4F97"/>
    <w:rsid w:val="796A8D55"/>
    <w:rsid w:val="7A1B7FFA"/>
    <w:rsid w:val="7C95A34F"/>
    <w:rsid w:val="7E7AC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DB9E"/>
  <w15:chartTrackingRefBased/>
  <w15:docId w15:val="{B5B315A9-1873-4AF1-A29F-D1B04C4E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0CEB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1A9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D36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64905"/>
    <w:pPr>
      <w:spacing w:after="200" w:line="276" w:lineRule="auto"/>
      <w:ind w:left="720"/>
      <w:contextualSpacing/>
    </w:pPr>
    <w:rPr>
      <w:rFonts w:ascii="Calibri" w:hAnsi="Calibri" w:eastAsia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BE3F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E2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F0781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Arial" w:hAnsi="Arial" w:eastAsia="Arial" w:cs="Arial"/>
      <w:sz w:val="18"/>
      <w:szCs w:val="18"/>
      <w:lang w:val="el-GR"/>
    </w:rPr>
  </w:style>
  <w:style w:type="character" w:styleId="BodyTextChar" w:customStyle="1">
    <w:name w:val="Body Text Char"/>
    <w:basedOn w:val="DefaultParagraphFont"/>
    <w:link w:val="BodyText"/>
    <w:uiPriority w:val="1"/>
    <w:rsid w:val="004F0781"/>
    <w:rPr>
      <w:rFonts w:ascii="Arial" w:hAnsi="Arial" w:eastAsia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r@shso.org.cy&#160;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F7407B82214498614252B7A32A69" ma:contentTypeVersion="2" ma:contentTypeDescription="Create a new document." ma:contentTypeScope="" ma:versionID="748eea93d423008f2fb5a904864be04e">
  <xsd:schema xmlns:xsd="http://www.w3.org/2001/XMLSchema" xmlns:xs="http://www.w3.org/2001/XMLSchema" xmlns:p="http://schemas.microsoft.com/office/2006/metadata/properties" xmlns:ns2="660a1cca-fa58-4b7b-bb8e-7321f5e4bb47" targetNamespace="http://schemas.microsoft.com/office/2006/metadata/properties" ma:root="true" ma:fieldsID="ef889201be25eb42d9f6974ec33b1dcc" ns2:_="">
    <xsd:import namespace="660a1cca-fa58-4b7b-bb8e-7321f5e4b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a1cca-fa58-4b7b-bb8e-7321f5e4b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6C2DE-7CD9-45FE-B0B0-399BA3DBF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a1cca-fa58-4b7b-bb8e-7321f5e4b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25A10-8A6A-4965-91B4-BF8988BFC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29DE1-E9AD-4B5A-B13D-2DECD2C45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Stella Andreou</dc:creator>
  <keywords/>
  <dc:description/>
  <lastModifiedBy>Irene Petrou (Head Office)</lastModifiedBy>
  <revision>72</revision>
  <lastPrinted>2020-08-31T10:25:00.0000000Z</lastPrinted>
  <dcterms:created xsi:type="dcterms:W3CDTF">2020-06-24T10:37:00.0000000Z</dcterms:created>
  <dcterms:modified xsi:type="dcterms:W3CDTF">2023-01-09T09:23:45.3836058Z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0x010100B446F7407B82214498614252B7A32A69</vt:lpwstr>
  </property>
</Properties>
</file>